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2015/119 vom 6. Juli 2015</w:t>
      </w:r>
    </w:p>
    <w:p>
      <w:r>
        <w:t>Sg Verwaltungsgericht, 2015-07-06, DE</w:t>
      </w:r>
    </w:p>
    <w:p>
      <w:r>
        <w:rPr>
          <w:b/>
        </w:rPr>
        <w:t xml:space="preserve">Quelle: </w:t>
      </w:r>
      <w:r>
        <w:t>https://mcp.opencaselaw.ch/entscheid/sg_publikationen_B 2015_119</w:t>
      </w:r>
    </w:p>
    <w:p>
      <w:r>
        <w:t>FR: SG_VERWALTUNGSGERICHT B 2015/119 du 6 juillet 2015</w:t>
      </w:r>
    </w:p>
    <w:p>
      <w:r>
        <w:t>IT: SG_VERWALTUNGSGERICHT B 2015/119 del 6 luglio 2015</w:t>
      </w:r>
    </w:p>
    <w:p>
      <w:pPr>
        <w:pStyle w:val="Heading2"/>
      </w:pPr>
      <w:r>
        <w:t>Regeste</w:t>
      </w:r>
    </w:p>
    <w:p>
      <w:r>
        <w:t>Öffentliches Beschaffungswesen, aufschiebende Wirkung, Art. 17 Abs. 2 IVöB.Der Ausschluss der Beschwerdeführerin mangels Eignung – das eine Referenzobjekt hat Druckschächte und -stollen und nicht Druckleitungen zum Gegenstand, beim anderen Referenzobjekt hat sie die Druckleitungen nicht selbst gebaut – hält der gebotenen summarischen Prüfung stand. Dementsprechend ist das Gesuch um Gewährung der aufschiebenden Wirkung abzuweisen (Präsidialverfügung Verwaltungsgericht, B 2015/119).</w:t>
      </w:r>
    </w:p>
    <w:p>
      <w:pPr>
        <w:pStyle w:val="Heading2"/>
      </w:pPr>
      <w:r>
        <w:t>Erwägungen</w:t>
      </w:r>
    </w:p>
    <w:p>
      <w:r>
        <w:rPr>
          <w:b/>
        </w:rPr>
        <w:t>E. 1</w:t>
      </w:r>
    </w:p>
    <w:p>
      <w:r>
        <w:t>Über das Gesuch um Gewährung der aufschiebenden Wirkung entscheidet der Präsident des Verwaltungsgerichts gemäss Art. 42 der Verordnung über das öffentliche Beschaffungswesen (sGS 841.11, VöB) innert zehn Tagen nach Eingang der Beschwerde.</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2.1</w:t>
      </w:r>
    </w:p>
    <w:p>
      <w:r>
        <w:t>Auf die Gewichtung der einer Erteilung der aufschiebenden Wirkung entgegen stehenden öffentlichen oder privaten Interessen kann verzichtet werden, wenn die Beschwerde offensichtlich nicht ausreichend begründet erscheint.</w:t>
      </w:r>
    </w:p>
    <w:p>
      <w:r>
        <w:rPr>
          <w:b/>
        </w:rPr>
        <w:t>E. 2.2</w:t>
      </w:r>
    </w:p>
    <w:p>
      <w:r>
        <w:t>Die Verfahrensbeteiligten sind sich nicht einig, ob die beiden von der Beschwerdeführerin bezeichneten Referenzobjekte "PSW Linth Limmern" und "KW Russein" die Voraussetzungen gemäss der Umschreibung der Eignungskriterien erfüllen.</w:t>
      </w:r>
    </w:p>
    <w:p>
      <w:r>
        <w:rPr>
          <w:b/>
        </w:rPr>
        <w:t>E. 2.2.1</w:t>
      </w:r>
    </w:p>
    <w:p>
      <w:r>
        <w:t>Die Vorinstanz verlangt gemäss Ausschreibung von der technisch federführenden Unternehmung infolge der Komplexität der Aufgabe Erfahrung im Bau von Druckleitungen mit einem Innendurchmesser von rund einem Meter mit hoher Komplexität (Konus, Ausbaurohre, Hosenrohr, Durchflussmessung, Korrosionsschutz) im Gebirge mit einer Druckhöhe bis 300 Meter Wassersäule, Erfahrung bei Arbeiten in steilem Gelände und bei der Montage in engen Platzverhältnissen, steilem Gelände und geringer Verlegeleistung. Der Nachweis soll anhand zweier vergleichbarer Referenzobjekte in der Schweiz (Normen, Umwelt, EKAS [Eidgenössische Koordinationskommission für Arbeitssicherheit], SUVA [Schweizerische Unfallversicherungsanstalt]) in den letzten fünf Jahren erbracht werden. Die Vorinstanz hält fest, sie verlange von der federführenden Unternehmung insbesondere hohe Fachkompetenz im Bereich des Druckleitungsbaus, wobei es um den eigentlichen Stahlwasserbau im Sinne von Planung, Lieferung und Montage einer Druckleitung gehe und nicht nur um den Aushub und die Rückfüllung des Leitungsgrabens (Baumeisterarbeiten). Beim Referenzobjekt "PSW Linth Limmern" seien zwei gepanzerte Druckschächte von 1'000 Metern Länge mit einem Aussendurchmesser von 5,2 Metern und einem Innendurchmesser von 4,2 Metern mittels Tunnelbohrmaschine erstellt worden. Technisch handle es sich nicht um Druckleitungen. Zudem sei die Schachtpanzerung von ausgewiesenen Stahlbauern und nicht von der Beschwerdeführerin ausgeführt worden. Beim Referenzobjekt "KW Russein" habe die angegebene Referenzperson bestätigt, dass der Druckleitungsbau nicht von der Beschwerdeführerin ausgeführt worden sei. Die Beschwerdeführerin habe verschiedentlich beim Transport der Rohre mitgewirkt, aber mit dem eigentlichen Leitungsbau nichts zu tun gehabt. Die Beschwerdeführerin hält dem entgegen, in den Ausschreibungsunterlagen werde nicht verlangt, dass die beiden Referenzobjekte mit dem Ausschreibungsobjekt identisch sein müssten. Verlangt sei nur Vergleichbarkeit. Die Ausschreibung verlange nicht, dass beim Referenzobjekt die Leitungen durch den Anbieter selbst oder einen Sub- oder Nebenunternehmer verbaut worden seien.</w:t>
      </w:r>
    </w:p>
    <w:p>
      <w:r>
        <w:rPr>
          <w:b/>
        </w:rPr>
        <w:t>E. 2.2.2</w:t>
      </w:r>
    </w:p>
    <w:p>
      <w:r>
        <w:t>Gemäss Art. 8 VöB legt der Auftraggeber im Rahmen der Ausschreibung fest, welche Eignungskriterien der Anbieter erfüllen und welche Nachweise er erbringen muss. Gemäss Art. 12 Abs. 1 Ingress und lit. a VöB kann der Auftraggeber einen Anbieter vom Vergabeverfahren ausschliessen, wenn der Anbieter die Eignungskriterien nicht erfüllt. Nach der bundesgerichtlichen Rechtsprechung verfügt die Vergabestelle bei der Formulierung und Anwendung der Eignungskriterien über einen grossen Ermessensspielraum,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Wichtige Schranken bei der Anwendung der Eignungskriterien bilden der allgemeine Grundsatz von Treu und Glauben und das vergaberechtliche Transparenzprinzip. Die im Rahmen der Ausschreibung formulierten Eignungskriterien sind so auszulegen und anzuwenden, wie sie von den Anbietern in guten Treuen verstanden werden konnten und mussten (vgl. BGer 2C_1101/2012 vom 24. Januar 2013 E. 2.4; BGE 141 II 14 E. 7.1; vgl. VerwGE B 2015/84 vom 29. Mai / 1. Juni 2015 E. 2.2.1, www.gerichte.sg.ch ).</w:t>
      </w:r>
    </w:p>
    <w:p>
      <w:r>
        <w:rPr>
          <w:b/>
        </w:rPr>
        <w:t>E. 2.2.3</w:t>
      </w:r>
    </w:p>
    <w:p>
      <w:r>
        <w:t>Die Eignungskriterien gemäss Ausschreibung verlangen in mehrfachem Zusammenhang ausdrücklich Erfahrungen im Bau von Druckleitungen. Dass deshalb auch die geforderten zwei Referenzobjekte sich auf den Bau von Druckleitungen beziehen und Druckschächte und Druckstollen nicht als vergleichbar behandelt werden, liegt angesichts der Ausformulierung der Eignungskriterien auf der Hand. Wenn die Vorinstanz auf den Unterschied hinsichtlich der Erstellung – beim ausgeschriebenen Objekt Leitungsbau, beim Referenzobjekt "PSW Linth Limmern" Tunnelbau mit nicht von der Beschwerdeführerin ausgeführter Schachtpanzerung – hinweist, legt sie nachvollziehbar dar, dass das von der Beschwerdeführerin angegebene Referenzobjekt in einem wesentlichen Punkt von den Anforderungen des ausgeschriebenen Projekts abweicht (vgl. A. Schleiss, Triebwassersysteme bei Wasserkraftanlagen, Herausforderungen und Tendenzen für die Linienführung und Auskleidung, Swiss Tunnel Congress 2012, http://infoscience.epfl.ch). Angesichts der technischen Unterschiede beim Bau von Rohrleitungen einerseits und Schächten und Stollen anderseits ist unbehelflich, wenn im Referenzschreiben vom 3. Juni 2015 – anders als noch im Referenzschreiben vom 4. Oktober 2012 – nicht mehr von Druckschächten, sondern – insoweit untechnisch – von "Druckleitungen" die Rede ist (act. 8/Register 8). Dass die Vorinstanz dieses Referenzobjekt bei der Prüfung der Eignung der Beschwerdeführerin nicht berücksichtigt hat, hält dementsprechend jedenfalls einer gebotenen summarischen Prüfung stand. Beim Referenzobjekt "KW Russein" ist unbestritten, dass die Beschwerdeführerin die Druckleitung nicht selbst gebaut hat. In der Ausschreibung wurde die Erfahrung im Druckleitungsbau ausdrücklich von der technisch federführenden Unternehmung gefordert. Damit hat die Vorinstanz, wenn sie der Beschwerdeführerin aus diesem Referenzobjekt keine Erfahrung im Druckleitungsbau zurechnete, das Eignungskriterium – jedenfalls bei der im Verfahren der aufschiebenden Wirkung gebotenen summarischen Prüfung – nicht in rechtswidriger Weise gehandhabt.</w:t>
      </w:r>
    </w:p>
    <w:p>
      <w:r>
        <w:rPr>
          <w:b/>
        </w:rPr>
        <w:t>E. 3</w:t>
      </w:r>
    </w:p>
    <w:p>
      <w:r>
        <w:t>Aufgrund der vorstehenden Ausführungen erscheint die Beschwerde nicht hinreichend begründet, weshalb das Gesuch um Gewährung der aufschiebenden Wirkung abzuweisen ist. Die Vorinstanz ist einzuladen, bis 20. Juli 2015 materiell zur Beschwerde Stellung zu nehmen. Nach unbenützter Frist ist Verzicht anzunehmen. Die Gerichtsferien gelten nicht.</w:t>
      </w:r>
    </w:p>
    <w:p>
      <w:r>
        <w:rPr>
          <w:b/>
        </w:rPr>
        <w:t>E. 4</w:t>
      </w:r>
    </w:p>
    <w:p>
      <w:r>
        <w:t>Ausseramtliche Kosten werden für das Zwischenverfahren nicht entschädigt. Der 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